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2BF8" w14:textId="51BA613A" w:rsidR="00B1657B" w:rsidRPr="00231D2B" w:rsidRDefault="00B1657B" w:rsidP="00F06F47">
      <w:pPr>
        <w:jc w:val="both"/>
        <w:rPr>
          <w:b/>
        </w:rPr>
      </w:pPr>
      <w:r w:rsidRPr="00231D2B">
        <w:rPr>
          <w:b/>
        </w:rPr>
        <w:t>PRESS RELEASE</w:t>
      </w:r>
    </w:p>
    <w:p w14:paraId="065AB005" w14:textId="77777777" w:rsidR="00B252BE" w:rsidRPr="00231D2B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5067DC4F" w14:textId="17D18026" w:rsidR="009B15FD" w:rsidRPr="00231D2B" w:rsidRDefault="003C26D3" w:rsidP="00F06F47">
      <w:pPr>
        <w:jc w:val="both"/>
        <w:rPr>
          <w:b/>
          <w:lang w:val="en-US"/>
        </w:rPr>
      </w:pPr>
      <w:r w:rsidRPr="00231D2B">
        <w:rPr>
          <w:b/>
        </w:rPr>
        <w:t>Immediate</w:t>
      </w:r>
      <w:r w:rsidR="003936DA">
        <w:rPr>
          <w:b/>
        </w:rPr>
        <w:t xml:space="preserve"> </w:t>
      </w:r>
      <w:r w:rsidR="00F64AAA">
        <w:rPr>
          <w:b/>
        </w:rPr>
        <w:t>22.9.2021</w:t>
      </w:r>
    </w:p>
    <w:p w14:paraId="6BAF8CB5" w14:textId="77777777" w:rsidR="00D73F74" w:rsidRPr="00231D2B" w:rsidRDefault="00D73F74" w:rsidP="00F06F47">
      <w:pPr>
        <w:jc w:val="both"/>
        <w:rPr>
          <w:b/>
          <w:lang w:val="en-US"/>
        </w:rPr>
      </w:pPr>
    </w:p>
    <w:p w14:paraId="0E599549" w14:textId="458DC6DE" w:rsidR="007A7D50" w:rsidRDefault="00C104F7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GERMAN ELECTIONS</w:t>
      </w:r>
      <w:r w:rsidR="007A7D50">
        <w:rPr>
          <w:b/>
          <w:bCs/>
          <w:lang w:val="en-US"/>
        </w:rPr>
        <w:t xml:space="preserve">:  </w:t>
      </w:r>
    </w:p>
    <w:p w14:paraId="6B130D3C" w14:textId="77777777" w:rsidR="007A7D50" w:rsidRPr="007A7D50" w:rsidRDefault="007A7D50" w:rsidP="007A7D50">
      <w:pPr>
        <w:jc w:val="center"/>
        <w:rPr>
          <w:b/>
          <w:bCs/>
          <w:sz w:val="13"/>
          <w:szCs w:val="13"/>
          <w:lang w:val="en-US"/>
        </w:rPr>
      </w:pPr>
    </w:p>
    <w:p w14:paraId="36D4CB22" w14:textId="6AA7E1C9" w:rsidR="00AB3D54" w:rsidRPr="00231D2B" w:rsidRDefault="007A7D50" w:rsidP="007A7D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THE </w:t>
      </w:r>
      <w:r w:rsidR="002D0D3E">
        <w:rPr>
          <w:b/>
          <w:bCs/>
          <w:lang w:val="en-US"/>
        </w:rPr>
        <w:t xml:space="preserve">BUNDESTAG TO </w:t>
      </w:r>
      <w:r w:rsidR="002D0D3E" w:rsidRPr="007A7D50">
        <w:rPr>
          <w:b/>
          <w:bCs/>
          <w:i/>
          <w:iCs/>
          <w:u w:val="single"/>
          <w:lang w:val="en-US"/>
        </w:rPr>
        <w:t>ELECT</w:t>
      </w:r>
      <w:r w:rsidR="002D0D3E">
        <w:rPr>
          <w:b/>
          <w:bCs/>
          <w:lang w:val="en-US"/>
        </w:rPr>
        <w:t xml:space="preserve"> ITS NEXT CABINET?</w:t>
      </w:r>
    </w:p>
    <w:p w14:paraId="4A918797" w14:textId="4C0B9701" w:rsidR="00453C0D" w:rsidRPr="00231D2B" w:rsidRDefault="00453C0D" w:rsidP="00235033">
      <w:pPr>
        <w:jc w:val="center"/>
        <w:rPr>
          <w:b/>
          <w:bCs/>
          <w:lang w:val="en-US"/>
        </w:rPr>
      </w:pPr>
    </w:p>
    <w:p w14:paraId="4CD54069" w14:textId="4B438B5D" w:rsidR="001161D4" w:rsidRDefault="001161D4" w:rsidP="00F06F47">
      <w:pPr>
        <w:rPr>
          <w:lang w:val="en-US"/>
        </w:rPr>
      </w:pPr>
    </w:p>
    <w:p w14:paraId="79464C11" w14:textId="77777777" w:rsidR="009E4A66" w:rsidRPr="00231D2B" w:rsidRDefault="009E4A66" w:rsidP="00F06F47">
      <w:pPr>
        <w:rPr>
          <w:lang w:val="en-US"/>
        </w:rPr>
      </w:pPr>
    </w:p>
    <w:p w14:paraId="23D95555" w14:textId="7F17FBE3" w:rsidR="00AB3D54" w:rsidRDefault="002D0D3E" w:rsidP="00AB3D54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In 2017, the post-election negotiations to form a majority</w:t>
      </w:r>
      <w:r w:rsidR="009C580A">
        <w:rPr>
          <w:rFonts w:eastAsia="Times New Roman"/>
          <w:lang w:eastAsia="zh-CN"/>
        </w:rPr>
        <w:t xml:space="preserve"> (grand)</w:t>
      </w:r>
      <w:r>
        <w:rPr>
          <w:rFonts w:eastAsia="Times New Roman"/>
          <w:lang w:eastAsia="zh-CN"/>
        </w:rPr>
        <w:t xml:space="preserve"> coalition </w:t>
      </w:r>
      <w:r w:rsidR="003936DA">
        <w:rPr>
          <w:rFonts w:eastAsia="Times New Roman"/>
          <w:lang w:eastAsia="zh-CN"/>
        </w:rPr>
        <w:t xml:space="preserve">in Germany </w:t>
      </w:r>
      <w:r>
        <w:rPr>
          <w:rFonts w:eastAsia="Times New Roman"/>
          <w:lang w:eastAsia="zh-CN"/>
        </w:rPr>
        <w:t>lasted for 136 days.  So too in Ireland last year.  In The Netherlands in 2017, it was 225 days.  In Belgium, over 400!</w:t>
      </w:r>
    </w:p>
    <w:p w14:paraId="2D2D2C0B" w14:textId="38FF5BB1" w:rsidR="002D0D3E" w:rsidRPr="003936DA" w:rsidRDefault="002D0D3E" w:rsidP="00AB3D54">
      <w:pPr>
        <w:rPr>
          <w:rFonts w:eastAsia="Times New Roman"/>
          <w:sz w:val="13"/>
          <w:szCs w:val="13"/>
          <w:lang w:eastAsia="zh-CN"/>
        </w:rPr>
      </w:pPr>
    </w:p>
    <w:p w14:paraId="06815420" w14:textId="5934DDE3" w:rsidR="00FA7029" w:rsidRDefault="003936DA" w:rsidP="00AB3D54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I</w:t>
      </w:r>
      <w:r w:rsidR="002D0D3E">
        <w:rPr>
          <w:rFonts w:eastAsia="Times New Roman"/>
          <w:lang w:eastAsia="zh-CN"/>
        </w:rPr>
        <w:t xml:space="preserve">t could </w:t>
      </w:r>
      <w:r>
        <w:rPr>
          <w:rFonts w:eastAsia="Times New Roman"/>
          <w:lang w:eastAsia="zh-CN"/>
        </w:rPr>
        <w:t>best</w:t>
      </w:r>
      <w:r w:rsidR="002D0D3E">
        <w:rPr>
          <w:rFonts w:eastAsia="Times New Roman"/>
          <w:lang w:eastAsia="zh-CN"/>
        </w:rPr>
        <w:t xml:space="preserve"> be done in a vote.  The Parties which decide to join forces could elect the Executive.  Or better still (in these days of Covid and Climate Change), all the Parties could elect an all-party, power-sharing Government of National Unity.  Accordingly, on October 4</w:t>
      </w:r>
      <w:r w:rsidR="002D0D3E" w:rsidRPr="002D0D3E">
        <w:rPr>
          <w:rFonts w:eastAsia="Times New Roman"/>
          <w:vertAlign w:val="superscript"/>
          <w:lang w:eastAsia="zh-CN"/>
        </w:rPr>
        <w:t>th</w:t>
      </w:r>
      <w:r w:rsidR="002D0D3E">
        <w:rPr>
          <w:rFonts w:eastAsia="Times New Roman"/>
          <w:lang w:eastAsia="zh-CN"/>
        </w:rPr>
        <w:t>, there will be a</w:t>
      </w:r>
      <w:r>
        <w:rPr>
          <w:rFonts w:eastAsia="Times New Roman"/>
          <w:lang w:eastAsia="zh-CN"/>
        </w:rPr>
        <w:t>n online</w:t>
      </w:r>
      <w:r w:rsidR="002D0D3E">
        <w:rPr>
          <w:rFonts w:eastAsia="Times New Roman"/>
          <w:lang w:eastAsia="zh-CN"/>
        </w:rPr>
        <w:t xml:space="preserve"> role-play ‘in’ Munich </w:t>
      </w:r>
      <w:r w:rsidR="007A7D50">
        <w:rPr>
          <w:rFonts w:eastAsia="Times New Roman"/>
          <w:lang w:eastAsia="zh-CN"/>
        </w:rPr>
        <w:t>with</w:t>
      </w:r>
      <w:r w:rsidR="002D0D3E">
        <w:rPr>
          <w:rFonts w:eastAsia="Times New Roman"/>
          <w:lang w:eastAsia="zh-CN"/>
        </w:rPr>
        <w:t xml:space="preserve"> the matrix vote.  For a 15-member Cabinet, every </w:t>
      </w:r>
      <w:r w:rsidR="00C104F7">
        <w:rPr>
          <w:rFonts w:eastAsia="Times New Roman"/>
          <w:lang w:eastAsia="zh-CN"/>
        </w:rPr>
        <w:t xml:space="preserve">Bundestag </w:t>
      </w:r>
      <w:r w:rsidR="002D0D3E">
        <w:rPr>
          <w:rFonts w:eastAsia="Times New Roman"/>
          <w:lang w:eastAsia="zh-CN"/>
        </w:rPr>
        <w:t xml:space="preserve">MP chooses, in order of preference, 15 fellow MPs to be in Cabinet, </w:t>
      </w:r>
      <w:r w:rsidR="00C104F7">
        <w:rPr>
          <w:rFonts w:eastAsia="Times New Roman"/>
          <w:lang w:eastAsia="zh-CN"/>
        </w:rPr>
        <w:t>each to serve in a particular</w:t>
      </w:r>
      <w:r w:rsidR="002D0D3E">
        <w:rPr>
          <w:rFonts w:eastAsia="Times New Roman"/>
          <w:lang w:eastAsia="zh-CN"/>
        </w:rPr>
        <w:t xml:space="preserve"> Ministry</w:t>
      </w:r>
      <w:r w:rsidR="00C104F7">
        <w:rPr>
          <w:rFonts w:eastAsia="Times New Roman"/>
          <w:lang w:eastAsia="zh-CN"/>
        </w:rPr>
        <w:t>.</w:t>
      </w:r>
      <w:r w:rsidR="00357F72">
        <w:rPr>
          <w:rFonts w:eastAsia="Times New Roman"/>
          <w:lang w:eastAsia="zh-CN"/>
        </w:rPr>
        <w:t xml:space="preserve">  </w:t>
      </w:r>
      <w:r>
        <w:rPr>
          <w:rFonts w:eastAsia="Times New Roman"/>
          <w:lang w:eastAsia="zh-CN"/>
        </w:rPr>
        <w:t>A</w:t>
      </w:r>
      <w:r w:rsidR="00357F72">
        <w:rPr>
          <w:rFonts w:eastAsia="Times New Roman"/>
          <w:lang w:eastAsia="zh-CN"/>
        </w:rPr>
        <w:t xml:space="preserve"> </w:t>
      </w:r>
      <w:r>
        <w:rPr>
          <w:rFonts w:eastAsia="Times New Roman"/>
          <w:lang w:eastAsia="zh-CN"/>
        </w:rPr>
        <w:t>completed bal</w:t>
      </w:r>
      <w:r w:rsidR="00357F72">
        <w:rPr>
          <w:rFonts w:eastAsia="Times New Roman"/>
          <w:lang w:eastAsia="zh-CN"/>
        </w:rPr>
        <w:t>lot</w:t>
      </w:r>
      <w:r>
        <w:rPr>
          <w:rFonts w:eastAsia="Times New Roman"/>
          <w:lang w:eastAsia="zh-CN"/>
        </w:rPr>
        <w:t xml:space="preserve"> for a mini-Cabinet of 5 Ministers might look like this:</w:t>
      </w:r>
      <w:r w:rsidR="00357F72">
        <w:rPr>
          <w:rFonts w:eastAsia="Times New Roman"/>
          <w:lang w:eastAsia="zh-CN"/>
        </w:rPr>
        <w:t xml:space="preserve"> 5 names in the shaded column, and 5 </w:t>
      </w:r>
      <w:proofErr w:type="gramStart"/>
      <w:r>
        <w:rPr>
          <w:rFonts w:eastAsia="Times New Roman"/>
          <w:lang w:eastAsia="zh-CN"/>
        </w:rPr>
        <w:t>A</w:t>
      </w:r>
      <w:r w:rsidR="00357F72">
        <w:rPr>
          <w:rFonts w:eastAsia="Times New Roman"/>
          <w:lang w:eastAsia="zh-CN"/>
        </w:rPr>
        <w:t>’s</w:t>
      </w:r>
      <w:proofErr w:type="gramEnd"/>
      <w:r w:rsidR="00357F72">
        <w:rPr>
          <w:rFonts w:eastAsia="Times New Roman"/>
          <w:lang w:eastAsia="zh-CN"/>
        </w:rPr>
        <w:t xml:space="preserve"> in the matrix, </w:t>
      </w:r>
      <w:r w:rsidR="007A7D50">
        <w:rPr>
          <w:rFonts w:eastAsia="Times New Roman"/>
          <w:lang w:eastAsia="zh-CN"/>
        </w:rPr>
        <w:t>one</w:t>
      </w:r>
      <w:r w:rsidR="00357F72">
        <w:rPr>
          <w:rFonts w:eastAsia="Times New Roman"/>
          <w:lang w:eastAsia="zh-CN"/>
        </w:rPr>
        <w:t xml:space="preserve"> A in each column and one in each row.</w:t>
      </w:r>
    </w:p>
    <w:p w14:paraId="0B387560" w14:textId="4E3A5328" w:rsidR="002D0D3E" w:rsidRDefault="002D0D3E" w:rsidP="00AB3D54">
      <w:pPr>
        <w:rPr>
          <w:rFonts w:eastAsia="Times New Roma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545"/>
        <w:gridCol w:w="1545"/>
        <w:gridCol w:w="1545"/>
        <w:gridCol w:w="1545"/>
        <w:gridCol w:w="1546"/>
      </w:tblGrid>
      <w:tr w:rsidR="009C580A" w14:paraId="5160F631" w14:textId="77777777" w:rsidTr="00357F72"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</w:tcPr>
          <w:p w14:paraId="2CCA64A0" w14:textId="6B830CC3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Names</w:t>
            </w:r>
          </w:p>
          <w:p w14:paraId="76A3AF5B" w14:textId="5D414A40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(</w:t>
            </w:r>
            <w:proofErr w:type="gramStart"/>
            <w:r>
              <w:rPr>
                <w:rFonts w:eastAsia="Times New Roman"/>
                <w:lang w:eastAsia="zh-CN"/>
              </w:rPr>
              <w:t>in</w:t>
            </w:r>
            <w:proofErr w:type="gramEnd"/>
            <w:r>
              <w:rPr>
                <w:rFonts w:eastAsia="Times New Roman"/>
                <w:lang w:eastAsia="zh-CN"/>
              </w:rPr>
              <w:t xml:space="preserve"> order of preference)</w:t>
            </w:r>
          </w:p>
        </w:tc>
        <w:tc>
          <w:tcPr>
            <w:tcW w:w="1545" w:type="dxa"/>
            <w:vMerge w:val="restart"/>
          </w:tcPr>
          <w:p w14:paraId="1460D4A5" w14:textId="77777777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</w:p>
          <w:p w14:paraId="008B1F56" w14:textId="4F6FF041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Chancellor</w:t>
            </w:r>
          </w:p>
        </w:tc>
        <w:tc>
          <w:tcPr>
            <w:tcW w:w="6181" w:type="dxa"/>
            <w:gridSpan w:val="4"/>
          </w:tcPr>
          <w:p w14:paraId="5F761DC5" w14:textId="0DF46202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Ministers of</w:t>
            </w:r>
          </w:p>
        </w:tc>
      </w:tr>
      <w:tr w:rsidR="009C580A" w14:paraId="76AE1299" w14:textId="77777777" w:rsidTr="00357F72">
        <w:tc>
          <w:tcPr>
            <w:tcW w:w="2122" w:type="dxa"/>
            <w:gridSpan w:val="2"/>
            <w:vMerge/>
            <w:shd w:val="clear" w:color="auto" w:fill="D9D9D9" w:themeFill="background1" w:themeFillShade="D9"/>
          </w:tcPr>
          <w:p w14:paraId="3EDCA9A8" w14:textId="7CF70822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  <w:vMerge/>
          </w:tcPr>
          <w:p w14:paraId="3265553E" w14:textId="7A8E56B5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748402BD" w14:textId="02F17CD9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Finance</w:t>
            </w:r>
          </w:p>
        </w:tc>
        <w:tc>
          <w:tcPr>
            <w:tcW w:w="1545" w:type="dxa"/>
          </w:tcPr>
          <w:p w14:paraId="0769F6FD" w14:textId="060ED195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Interior</w:t>
            </w:r>
          </w:p>
        </w:tc>
        <w:tc>
          <w:tcPr>
            <w:tcW w:w="1545" w:type="dxa"/>
          </w:tcPr>
          <w:p w14:paraId="0734F1CD" w14:textId="18A6239A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Foreign Affairs</w:t>
            </w:r>
          </w:p>
        </w:tc>
        <w:tc>
          <w:tcPr>
            <w:tcW w:w="1546" w:type="dxa"/>
          </w:tcPr>
          <w:p w14:paraId="152CE731" w14:textId="4BC6795A" w:rsidR="009C580A" w:rsidRDefault="009C580A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Economy</w:t>
            </w:r>
          </w:p>
        </w:tc>
      </w:tr>
      <w:tr w:rsidR="002D0D3E" w14:paraId="1CDA9F2A" w14:textId="77777777" w:rsidTr="00357F72">
        <w:tc>
          <w:tcPr>
            <w:tcW w:w="562" w:type="dxa"/>
            <w:shd w:val="clear" w:color="auto" w:fill="D9D9D9" w:themeFill="background1" w:themeFillShade="D9"/>
          </w:tcPr>
          <w:p w14:paraId="4BC7A69A" w14:textId="36D7AB34" w:rsidR="002D0D3E" w:rsidRDefault="002D0D3E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  <w:r w:rsidRPr="002D0D3E">
              <w:rPr>
                <w:rFonts w:eastAsia="Times New Roman"/>
                <w:vertAlign w:val="superscript"/>
                <w:lang w:eastAsia="zh-CN"/>
              </w:rPr>
              <w:t>st</w:t>
            </w:r>
            <w:r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0C6295" w14:textId="5611574B" w:rsidR="002D0D3E" w:rsidRDefault="00357F72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Ms </w:t>
            </w:r>
            <w:r w:rsidRPr="00C104F7">
              <w:rPr>
                <w:rFonts w:eastAsia="Times New Roman"/>
                <w:i/>
                <w:iCs/>
                <w:lang w:eastAsia="zh-CN"/>
              </w:rPr>
              <w:t>j</w:t>
            </w:r>
          </w:p>
        </w:tc>
        <w:tc>
          <w:tcPr>
            <w:tcW w:w="1545" w:type="dxa"/>
          </w:tcPr>
          <w:p w14:paraId="692EB04A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3F2DEFA2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604EF124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4F85E35E" w14:textId="5F63A41B" w:rsidR="002D0D3E" w:rsidRDefault="00357F72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</w:t>
            </w:r>
          </w:p>
        </w:tc>
        <w:tc>
          <w:tcPr>
            <w:tcW w:w="1546" w:type="dxa"/>
          </w:tcPr>
          <w:p w14:paraId="5E707F90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</w:tr>
      <w:tr w:rsidR="002D0D3E" w14:paraId="54E8BF6D" w14:textId="77777777" w:rsidTr="00357F72">
        <w:tc>
          <w:tcPr>
            <w:tcW w:w="562" w:type="dxa"/>
            <w:shd w:val="clear" w:color="auto" w:fill="D9D9D9" w:themeFill="background1" w:themeFillShade="D9"/>
          </w:tcPr>
          <w:p w14:paraId="2F1E4628" w14:textId="4E4A44F6" w:rsidR="002D0D3E" w:rsidRDefault="002D0D3E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  <w:r w:rsidRPr="002D0D3E">
              <w:rPr>
                <w:rFonts w:eastAsia="Times New Roman"/>
                <w:vertAlign w:val="superscript"/>
                <w:lang w:eastAsia="zh-CN"/>
              </w:rPr>
              <w:t>nd</w:t>
            </w:r>
            <w:r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18DEA9" w14:textId="727C162D" w:rsidR="002D0D3E" w:rsidRDefault="00357F72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Ms </w:t>
            </w:r>
            <w:r w:rsidRPr="00C104F7">
              <w:rPr>
                <w:rFonts w:eastAsia="Times New Roman"/>
                <w:i/>
                <w:iCs/>
                <w:lang w:eastAsia="zh-CN"/>
              </w:rPr>
              <w:t>t</w:t>
            </w:r>
          </w:p>
        </w:tc>
        <w:tc>
          <w:tcPr>
            <w:tcW w:w="1545" w:type="dxa"/>
          </w:tcPr>
          <w:p w14:paraId="7722A90C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07BC1F48" w14:textId="0C9B7A2D" w:rsidR="002D0D3E" w:rsidRDefault="00357F72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</w:t>
            </w:r>
          </w:p>
        </w:tc>
        <w:tc>
          <w:tcPr>
            <w:tcW w:w="1545" w:type="dxa"/>
          </w:tcPr>
          <w:p w14:paraId="5708D29D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0884B97D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6" w:type="dxa"/>
          </w:tcPr>
          <w:p w14:paraId="66CCABD4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</w:tr>
      <w:tr w:rsidR="002D0D3E" w14:paraId="2E8D7A58" w14:textId="77777777" w:rsidTr="00357F72">
        <w:tc>
          <w:tcPr>
            <w:tcW w:w="562" w:type="dxa"/>
            <w:shd w:val="clear" w:color="auto" w:fill="D9D9D9" w:themeFill="background1" w:themeFillShade="D9"/>
          </w:tcPr>
          <w:p w14:paraId="604CCCAA" w14:textId="412A6F82" w:rsidR="002D0D3E" w:rsidRDefault="002D0D3E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</w:t>
            </w:r>
            <w:r w:rsidRPr="002D0D3E">
              <w:rPr>
                <w:rFonts w:eastAsia="Times New Roman"/>
                <w:vertAlign w:val="superscript"/>
                <w:lang w:eastAsia="zh-CN"/>
              </w:rPr>
              <w:t>rd</w:t>
            </w:r>
            <w:r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004A985" w14:textId="3D6F60A2" w:rsidR="002D0D3E" w:rsidRDefault="00357F72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Mr </w:t>
            </w:r>
            <w:r w:rsidRPr="00C104F7">
              <w:rPr>
                <w:rFonts w:eastAsia="Times New Roman"/>
                <w:i/>
                <w:iCs/>
                <w:lang w:eastAsia="zh-CN"/>
              </w:rPr>
              <w:t>g</w:t>
            </w:r>
          </w:p>
        </w:tc>
        <w:tc>
          <w:tcPr>
            <w:tcW w:w="1545" w:type="dxa"/>
          </w:tcPr>
          <w:p w14:paraId="4DE7FC87" w14:textId="43AAC612" w:rsidR="002D0D3E" w:rsidRDefault="00357F72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</w:t>
            </w:r>
          </w:p>
        </w:tc>
        <w:tc>
          <w:tcPr>
            <w:tcW w:w="1545" w:type="dxa"/>
          </w:tcPr>
          <w:p w14:paraId="57CF9D23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52CC241A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7C91D1DB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6" w:type="dxa"/>
          </w:tcPr>
          <w:p w14:paraId="012CCBA7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</w:tr>
      <w:tr w:rsidR="002D0D3E" w14:paraId="2C134D40" w14:textId="77777777" w:rsidTr="00357F72">
        <w:tc>
          <w:tcPr>
            <w:tcW w:w="562" w:type="dxa"/>
            <w:shd w:val="clear" w:color="auto" w:fill="D9D9D9" w:themeFill="background1" w:themeFillShade="D9"/>
          </w:tcPr>
          <w:p w14:paraId="6BE0829F" w14:textId="50BB269F" w:rsidR="002D0D3E" w:rsidRDefault="002D0D3E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</w:t>
            </w:r>
            <w:r w:rsidRPr="002D0D3E">
              <w:rPr>
                <w:rFonts w:eastAsia="Times New Roman"/>
                <w:vertAlign w:val="superscript"/>
                <w:lang w:eastAsia="zh-CN"/>
              </w:rPr>
              <w:t>th</w:t>
            </w:r>
            <w:r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9B500D" w14:textId="258D309B" w:rsidR="002D0D3E" w:rsidRDefault="00357F72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Ms </w:t>
            </w:r>
            <w:r w:rsidRPr="00C104F7">
              <w:rPr>
                <w:rFonts w:eastAsia="Times New Roman"/>
                <w:i/>
                <w:iCs/>
                <w:lang w:eastAsia="zh-CN"/>
              </w:rPr>
              <w:t>w</w:t>
            </w:r>
          </w:p>
        </w:tc>
        <w:tc>
          <w:tcPr>
            <w:tcW w:w="1545" w:type="dxa"/>
          </w:tcPr>
          <w:p w14:paraId="555AA5AD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1192C0B8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45F80CFD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58171DF3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6" w:type="dxa"/>
          </w:tcPr>
          <w:p w14:paraId="09E4DD87" w14:textId="097D8373" w:rsidR="002D0D3E" w:rsidRDefault="00357F72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</w:t>
            </w:r>
          </w:p>
        </w:tc>
      </w:tr>
      <w:tr w:rsidR="002D0D3E" w14:paraId="6015552A" w14:textId="77777777" w:rsidTr="00357F72">
        <w:tc>
          <w:tcPr>
            <w:tcW w:w="562" w:type="dxa"/>
            <w:shd w:val="clear" w:color="auto" w:fill="D9D9D9" w:themeFill="background1" w:themeFillShade="D9"/>
          </w:tcPr>
          <w:p w14:paraId="0209E604" w14:textId="3C6AEBF3" w:rsidR="002D0D3E" w:rsidRDefault="002D0D3E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</w:t>
            </w:r>
            <w:r w:rsidRPr="002D0D3E">
              <w:rPr>
                <w:rFonts w:eastAsia="Times New Roman"/>
                <w:vertAlign w:val="superscript"/>
                <w:lang w:eastAsia="zh-CN"/>
              </w:rPr>
              <w:t>th</w:t>
            </w:r>
            <w:r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B87557B" w14:textId="1471735E" w:rsidR="002D0D3E" w:rsidRDefault="00357F72" w:rsidP="00AB3D54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Mr </w:t>
            </w:r>
            <w:r w:rsidRPr="00C104F7">
              <w:rPr>
                <w:rFonts w:eastAsia="Times New Roman"/>
                <w:i/>
                <w:iCs/>
                <w:lang w:eastAsia="zh-CN"/>
              </w:rPr>
              <w:t>b</w:t>
            </w:r>
          </w:p>
        </w:tc>
        <w:tc>
          <w:tcPr>
            <w:tcW w:w="1545" w:type="dxa"/>
          </w:tcPr>
          <w:p w14:paraId="11E74998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70FF1413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5" w:type="dxa"/>
          </w:tcPr>
          <w:p w14:paraId="04B1FE2A" w14:textId="2F287D43" w:rsidR="002D0D3E" w:rsidRDefault="00357F72" w:rsidP="00357F72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</w:t>
            </w:r>
          </w:p>
        </w:tc>
        <w:tc>
          <w:tcPr>
            <w:tcW w:w="1545" w:type="dxa"/>
          </w:tcPr>
          <w:p w14:paraId="3B703C0B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546" w:type="dxa"/>
          </w:tcPr>
          <w:p w14:paraId="5BBC40F8" w14:textId="77777777" w:rsidR="002D0D3E" w:rsidRDefault="002D0D3E" w:rsidP="00357F72">
            <w:pPr>
              <w:jc w:val="center"/>
              <w:rPr>
                <w:rFonts w:eastAsia="Times New Roman"/>
                <w:lang w:eastAsia="zh-CN"/>
              </w:rPr>
            </w:pPr>
          </w:p>
        </w:tc>
      </w:tr>
    </w:tbl>
    <w:p w14:paraId="43AD7510" w14:textId="77777777" w:rsidR="002D0D3E" w:rsidRPr="00C104F7" w:rsidRDefault="002D0D3E" w:rsidP="00AB3D54">
      <w:pPr>
        <w:rPr>
          <w:rFonts w:eastAsia="Times New Roman"/>
          <w:sz w:val="13"/>
          <w:szCs w:val="13"/>
          <w:lang w:eastAsia="zh-CN"/>
        </w:rPr>
      </w:pPr>
    </w:p>
    <w:p w14:paraId="568C11BE" w14:textId="327F4E54" w:rsidR="00357F72" w:rsidRDefault="009C580A" w:rsidP="00F06F47">
      <w:pPr>
        <w:rPr>
          <w:lang w:val="en-US"/>
        </w:rPr>
      </w:pPr>
      <w:r>
        <w:rPr>
          <w:lang w:val="en-US"/>
        </w:rPr>
        <w:t>Part I</w:t>
      </w:r>
      <w:r>
        <w:rPr>
          <w:lang w:val="en-US"/>
        </w:rPr>
        <w:t xml:space="preserve"> of a</w:t>
      </w:r>
      <w:r w:rsidR="00357F72">
        <w:rPr>
          <w:lang w:val="en-US"/>
        </w:rPr>
        <w:t xml:space="preserve"> matrix vote analysis examines the preferences in the shaded column, to identify by PR the fifteen most popular candidates.  In Part II, the preferences </w:t>
      </w:r>
      <w:r>
        <w:rPr>
          <w:lang w:val="en-US"/>
        </w:rPr>
        <w:t xml:space="preserve">in the matrix </w:t>
      </w:r>
      <w:r w:rsidR="00357F72">
        <w:rPr>
          <w:lang w:val="en-US"/>
        </w:rPr>
        <w:t xml:space="preserve">are translated into points, and successful candidates are appointed to </w:t>
      </w:r>
      <w:r w:rsidR="003936DA">
        <w:rPr>
          <w:lang w:val="en-US"/>
        </w:rPr>
        <w:t>M</w:t>
      </w:r>
      <w:r w:rsidR="00357F72">
        <w:rPr>
          <w:lang w:val="en-US"/>
        </w:rPr>
        <w:t>inistries in descending order of points totals.</w:t>
      </w:r>
    </w:p>
    <w:p w14:paraId="4F68EDC7" w14:textId="77777777" w:rsidR="009C580A" w:rsidRPr="009C580A" w:rsidRDefault="009C580A" w:rsidP="00F06F47">
      <w:pPr>
        <w:rPr>
          <w:sz w:val="13"/>
          <w:szCs w:val="13"/>
          <w:lang w:val="en-US"/>
        </w:rPr>
      </w:pPr>
    </w:p>
    <w:p w14:paraId="27AF29C7" w14:textId="76DCD1A4" w:rsidR="00357F72" w:rsidRDefault="00357F72" w:rsidP="00F06F47">
      <w:pPr>
        <w:rPr>
          <w:lang w:val="en-US"/>
        </w:rPr>
      </w:pPr>
      <w:r>
        <w:rPr>
          <w:lang w:val="en-US"/>
        </w:rPr>
        <w:t xml:space="preserve">As in PR-STV, Parties are encouraged to nominate only as many candidates as they think they can get elected.  As in </w:t>
      </w:r>
      <w:r w:rsidR="003936DA">
        <w:rPr>
          <w:lang w:val="en-US"/>
        </w:rPr>
        <w:t>the Modified Borda Count</w:t>
      </w:r>
      <w:r w:rsidR="00F64AAA">
        <w:rPr>
          <w:lang w:val="en-US"/>
        </w:rPr>
        <w:t xml:space="preserve"> MBC</w:t>
      </w:r>
      <w:r>
        <w:rPr>
          <w:lang w:val="en-US"/>
        </w:rPr>
        <w:t xml:space="preserve">, </w:t>
      </w:r>
      <w:r w:rsidR="009C580A">
        <w:rPr>
          <w:lang w:val="en-US"/>
        </w:rPr>
        <w:t>voters</w:t>
      </w:r>
      <w:r>
        <w:rPr>
          <w:lang w:val="en-US"/>
        </w:rPr>
        <w:t xml:space="preserve"> are encouraged to submit a full slate of preferences</w:t>
      </w:r>
      <w:r w:rsidR="00F64AAA">
        <w:rPr>
          <w:lang w:val="en-US"/>
        </w:rPr>
        <w:t xml:space="preserve"> (which then become points)</w:t>
      </w:r>
      <w:r>
        <w:rPr>
          <w:lang w:val="en-US"/>
        </w:rPr>
        <w:t xml:space="preserve">.  In </w:t>
      </w:r>
      <w:r w:rsidR="007A7D50">
        <w:rPr>
          <w:lang w:val="en-US"/>
        </w:rPr>
        <w:t>effect, therefore</w:t>
      </w:r>
      <w:r>
        <w:rPr>
          <w:lang w:val="en-US"/>
        </w:rPr>
        <w:t>, the matrix vote encourages all MPs to cross the Party divide</w:t>
      </w:r>
      <w:r w:rsidR="003936DA">
        <w:rPr>
          <w:lang w:val="en-US"/>
        </w:rPr>
        <w:t xml:space="preserve"> – a prerequisite of good power-sharing!</w:t>
      </w:r>
      <w:r>
        <w:rPr>
          <w:lang w:val="en-US"/>
        </w:rPr>
        <w:t xml:space="preserve">  </w:t>
      </w:r>
      <w:r w:rsidR="003936DA">
        <w:rPr>
          <w:lang w:val="en-US"/>
        </w:rPr>
        <w:t>At best, t</w:t>
      </w:r>
      <w:r>
        <w:rPr>
          <w:lang w:val="en-US"/>
        </w:rPr>
        <w:t>he outcome will be a Cabinet in which, individually, every minister is well suited to the chosen Ministry, while collectively, every Party is represented in its proportional due.</w:t>
      </w:r>
    </w:p>
    <w:p w14:paraId="74B5C425" w14:textId="7C32BD3E" w:rsidR="00357F72" w:rsidRPr="003936DA" w:rsidRDefault="00357F72" w:rsidP="00F06F47">
      <w:pPr>
        <w:rPr>
          <w:sz w:val="13"/>
          <w:szCs w:val="13"/>
          <w:lang w:val="en-US"/>
        </w:rPr>
      </w:pPr>
    </w:p>
    <w:p w14:paraId="0DC855E9" w14:textId="5F5C4556" w:rsidR="00F64AAA" w:rsidRPr="00F64AAA" w:rsidRDefault="00357F72" w:rsidP="00F64AAA">
      <w:pPr>
        <w:rPr>
          <w:rFonts w:eastAsia="Times New Roman"/>
          <w:color w:val="000000" w:themeColor="text1"/>
          <w:lang w:eastAsia="zh-CN"/>
        </w:rPr>
      </w:pPr>
      <w:r>
        <w:rPr>
          <w:lang w:val="en-US"/>
        </w:rPr>
        <w:t xml:space="preserve">The </w:t>
      </w:r>
      <w:r w:rsidRPr="00F64AAA">
        <w:rPr>
          <w:color w:val="000000" w:themeColor="text1"/>
          <w:lang w:val="en-US"/>
        </w:rPr>
        <w:t>matrix vote</w:t>
      </w:r>
      <w:r w:rsidR="00C104F7">
        <w:rPr>
          <w:color w:val="000000" w:themeColor="text1"/>
          <w:lang w:val="en-US"/>
        </w:rPr>
        <w:t xml:space="preserve">, a </w:t>
      </w:r>
      <w:proofErr w:type="spellStart"/>
      <w:r w:rsidR="00C104F7">
        <w:rPr>
          <w:color w:val="000000" w:themeColor="text1"/>
          <w:lang w:val="en-US"/>
        </w:rPr>
        <w:t>colour</w:t>
      </w:r>
      <w:proofErr w:type="spellEnd"/>
      <w:r w:rsidR="00C104F7">
        <w:rPr>
          <w:color w:val="000000" w:themeColor="text1"/>
          <w:lang w:val="en-US"/>
        </w:rPr>
        <w:t xml:space="preserve">-blind methodology </w:t>
      </w:r>
      <w:r w:rsidR="007A7D50">
        <w:rPr>
          <w:color w:val="000000" w:themeColor="text1"/>
          <w:lang w:val="en-US"/>
        </w:rPr>
        <w:t>(</w:t>
      </w:r>
      <w:r w:rsidR="00C104F7">
        <w:rPr>
          <w:color w:val="000000" w:themeColor="text1"/>
          <w:lang w:val="en-US"/>
        </w:rPr>
        <w:t xml:space="preserve">as opposed to the current practice </w:t>
      </w:r>
      <w:r w:rsidR="007A7D50">
        <w:rPr>
          <w:color w:val="000000" w:themeColor="text1"/>
          <w:lang w:val="en-US"/>
        </w:rPr>
        <w:t xml:space="preserve">in Belfast </w:t>
      </w:r>
      <w:r w:rsidR="00C104F7">
        <w:rPr>
          <w:color w:val="000000" w:themeColor="text1"/>
          <w:lang w:val="en-US"/>
        </w:rPr>
        <w:t xml:space="preserve">of a </w:t>
      </w:r>
      <w:proofErr w:type="spellStart"/>
      <w:r w:rsidR="00C104F7">
        <w:rPr>
          <w:color w:val="000000" w:themeColor="text1"/>
          <w:lang w:val="en-US"/>
        </w:rPr>
        <w:t>d’Hondt</w:t>
      </w:r>
      <w:proofErr w:type="spellEnd"/>
      <w:r w:rsidR="00C104F7">
        <w:rPr>
          <w:color w:val="000000" w:themeColor="text1"/>
          <w:lang w:val="en-US"/>
        </w:rPr>
        <w:t xml:space="preserve"> analysis</w:t>
      </w:r>
      <w:r w:rsidR="007A7D50">
        <w:rPr>
          <w:color w:val="000000" w:themeColor="text1"/>
          <w:lang w:val="en-US"/>
        </w:rPr>
        <w:t>,</w:t>
      </w:r>
      <w:r w:rsidR="00C104F7">
        <w:rPr>
          <w:color w:val="000000" w:themeColor="text1"/>
          <w:lang w:val="en-US"/>
        </w:rPr>
        <w:t xml:space="preserve"> or </w:t>
      </w:r>
      <w:r w:rsidR="007A7D50">
        <w:rPr>
          <w:color w:val="000000" w:themeColor="text1"/>
          <w:lang w:val="en-US"/>
        </w:rPr>
        <w:t xml:space="preserve">in Berlin of </w:t>
      </w:r>
      <w:r w:rsidR="00C104F7">
        <w:rPr>
          <w:color w:val="000000" w:themeColor="text1"/>
          <w:lang w:val="en-US"/>
        </w:rPr>
        <w:t>protracted negotiations</w:t>
      </w:r>
      <w:r w:rsidR="007A7D50">
        <w:rPr>
          <w:color w:val="000000" w:themeColor="text1"/>
          <w:lang w:val="en-US"/>
        </w:rPr>
        <w:t>)</w:t>
      </w:r>
      <w:r w:rsidR="00C104F7">
        <w:rPr>
          <w:color w:val="000000" w:themeColor="text1"/>
          <w:lang w:val="en-US"/>
        </w:rPr>
        <w:t>,</w:t>
      </w:r>
      <w:r w:rsidRPr="00F64AAA">
        <w:rPr>
          <w:color w:val="000000" w:themeColor="text1"/>
          <w:lang w:val="en-US"/>
        </w:rPr>
        <w:t xml:space="preserve"> was first tested in 1986 at a cross-community conference in Belfast.  In 2016, </w:t>
      </w:r>
      <w:r w:rsidR="00C104F7">
        <w:rPr>
          <w:color w:val="000000" w:themeColor="text1"/>
          <w:lang w:val="en-US"/>
        </w:rPr>
        <w:t>a</w:t>
      </w:r>
      <w:r w:rsidRPr="00F64AAA">
        <w:rPr>
          <w:color w:val="000000" w:themeColor="text1"/>
          <w:lang w:val="en-US"/>
        </w:rPr>
        <w:t xml:space="preserve"> </w:t>
      </w:r>
      <w:r w:rsidR="00C104F7" w:rsidRPr="00F64AAA">
        <w:rPr>
          <w:color w:val="000000" w:themeColor="text1"/>
          <w:lang w:val="en-US"/>
        </w:rPr>
        <w:t xml:space="preserve">Dublin </w:t>
      </w:r>
      <w:r w:rsidRPr="00F64AAA">
        <w:rPr>
          <w:color w:val="000000" w:themeColor="text1"/>
          <w:lang w:val="en-US"/>
        </w:rPr>
        <w:t>demonstrat</w:t>
      </w:r>
      <w:r w:rsidR="00C104F7">
        <w:rPr>
          <w:color w:val="000000" w:themeColor="text1"/>
          <w:lang w:val="en-US"/>
        </w:rPr>
        <w:t>ion was</w:t>
      </w:r>
      <w:r w:rsidRPr="00F64AAA">
        <w:rPr>
          <w:color w:val="000000" w:themeColor="text1"/>
          <w:lang w:val="en-US"/>
        </w:rPr>
        <w:t xml:space="preserve"> hosted by </w:t>
      </w:r>
      <w:r w:rsidR="003936DA" w:rsidRPr="00F64AAA">
        <w:rPr>
          <w:i/>
          <w:iCs/>
          <w:color w:val="000000" w:themeColor="text1"/>
          <w:lang w:val="en-US"/>
        </w:rPr>
        <w:t>T</w:t>
      </w:r>
      <w:r w:rsidRPr="00F64AAA">
        <w:rPr>
          <w:i/>
          <w:iCs/>
          <w:color w:val="000000" w:themeColor="text1"/>
          <w:lang w:val="en-US"/>
        </w:rPr>
        <w:t>he Irish Times</w:t>
      </w:r>
      <w:r w:rsidRPr="00F64AAA">
        <w:rPr>
          <w:color w:val="000000" w:themeColor="text1"/>
          <w:lang w:val="en-US"/>
        </w:rPr>
        <w:t xml:space="preserve">.  And now, care of </w:t>
      </w:r>
      <w:r w:rsidR="00F64AAA" w:rsidRPr="00F64AAA">
        <w:rPr>
          <w:color w:val="000000" w:themeColor="text1"/>
          <w:lang w:val="en-US"/>
        </w:rPr>
        <w:t xml:space="preserve">IFAMD </w:t>
      </w:r>
      <w:r w:rsidR="003628DD">
        <w:rPr>
          <w:color w:val="000000" w:themeColor="text1"/>
          <w:lang w:val="en-US"/>
        </w:rPr>
        <w:t>{</w:t>
      </w:r>
      <w:proofErr w:type="spellStart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Institut</w:t>
      </w:r>
      <w:proofErr w:type="spellEnd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für</w:t>
      </w:r>
      <w:proofErr w:type="spellEnd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Angewandtes</w:t>
      </w:r>
      <w:proofErr w:type="spellEnd"/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3628DD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(Applied) </w:t>
      </w:r>
      <w:r w:rsidR="00F64AAA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Mechanism Design</w:t>
      </w:r>
      <w:r w:rsidR="003628DD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zh-CN"/>
        </w:rPr>
        <w:t>}</w:t>
      </w:r>
      <w:r w:rsidR="00F64AAA">
        <w:rPr>
          <w:rFonts w:eastAsia="Times New Roman"/>
          <w:color w:val="000000" w:themeColor="text1"/>
          <w:lang w:eastAsia="zh-CN"/>
        </w:rPr>
        <w:t xml:space="preserve"> </w:t>
      </w:r>
      <w:hyperlink r:id="rId6" w:history="1">
        <w:r w:rsidR="00F64AAA" w:rsidRPr="00A03E0F">
          <w:rPr>
            <w:rStyle w:val="Hyperlink"/>
            <w:shd w:val="clear" w:color="auto" w:fill="FFFFFF"/>
          </w:rPr>
          <w:t>www.ifamd.org</w:t>
        </w:r>
      </w:hyperlink>
      <w:r w:rsidR="003936DA" w:rsidRPr="00F64AAA">
        <w:rPr>
          <w:color w:val="000000" w:themeColor="text1"/>
          <w:lang w:val="en-US"/>
        </w:rPr>
        <w:t xml:space="preserve"> in Munich, it will be role-played for the Bundestag</w:t>
      </w:r>
      <w:r w:rsidR="00F64AAA" w:rsidRPr="00F64AAA">
        <w:rPr>
          <w:color w:val="000000" w:themeColor="text1"/>
          <w:lang w:val="en-US"/>
        </w:rPr>
        <w:t xml:space="preserve"> as </w:t>
      </w:r>
      <w:r w:rsidR="00C104F7">
        <w:rPr>
          <w:color w:val="000000" w:themeColor="text1"/>
          <w:lang w:val="en-US"/>
        </w:rPr>
        <w:t>part</w:t>
      </w:r>
      <w:r w:rsidR="00F64AAA" w:rsidRPr="00F64AAA">
        <w:rPr>
          <w:color w:val="000000" w:themeColor="text1"/>
          <w:lang w:val="en-US"/>
        </w:rPr>
        <w:t xml:space="preserve"> of this season’s Adam Smith lectures in the Centre for Conflict Resolution </w:t>
      </w:r>
      <w:hyperlink r:id="rId7" w:tgtFrame="_blank" w:history="1">
        <w:r w:rsidR="00F64AAA" w:rsidRPr="00F64AAA">
          <w:rPr>
            <w:rStyle w:val="Hyperlink"/>
            <w:color w:val="000000" w:themeColor="text1"/>
            <w:shd w:val="clear" w:color="auto" w:fill="FFFFFF"/>
          </w:rPr>
          <w:t>ccr-munich.de</w:t>
        </w:r>
      </w:hyperlink>
      <w:r w:rsidR="00F64AAA" w:rsidRPr="00F64AAA">
        <w:rPr>
          <w:color w:val="000000" w:themeColor="text1"/>
          <w:shd w:val="clear" w:color="auto" w:fill="FFFFFF"/>
        </w:rPr>
        <w:t> </w:t>
      </w:r>
      <w:r w:rsidR="00F64AAA">
        <w:rPr>
          <w:color w:val="000000" w:themeColor="text1"/>
          <w:shd w:val="clear" w:color="auto" w:fill="FFFFFF"/>
        </w:rPr>
        <w:t xml:space="preserve"> </w:t>
      </w:r>
    </w:p>
    <w:p w14:paraId="4192F2D4" w14:textId="59948FFA" w:rsidR="00357F72" w:rsidRPr="00F64AAA" w:rsidRDefault="00357F72" w:rsidP="00F06F47">
      <w:pPr>
        <w:rPr>
          <w:color w:val="000000" w:themeColor="text1"/>
        </w:rPr>
      </w:pPr>
    </w:p>
    <w:p w14:paraId="0F0BDB6E" w14:textId="77777777" w:rsidR="00F64AAA" w:rsidRPr="00231D2B" w:rsidRDefault="00F64AAA" w:rsidP="00F06F47">
      <w:pPr>
        <w:rPr>
          <w:lang w:val="en-US"/>
        </w:rPr>
      </w:pPr>
    </w:p>
    <w:p w14:paraId="064956A6" w14:textId="483F9B9E" w:rsidR="004F2400" w:rsidRPr="00231D2B" w:rsidRDefault="00E65ED9" w:rsidP="00F06F47">
      <w:pPr>
        <w:rPr>
          <w:b/>
        </w:rPr>
      </w:pPr>
      <w:r w:rsidRPr="00231D2B">
        <w:rPr>
          <w:lang w:val="en-US"/>
        </w:rPr>
        <w:t>Peter Emerson</w:t>
      </w:r>
      <w:r w:rsidR="00984FF3" w:rsidRPr="00231D2B">
        <w:rPr>
          <w:lang w:val="en-US"/>
        </w:rPr>
        <w:t xml:space="preserve"> </w:t>
      </w:r>
    </w:p>
    <w:p w14:paraId="54749B11" w14:textId="744D9A6B" w:rsidR="00786BE8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>Director, the de Borda Institute</w:t>
      </w:r>
      <w:r w:rsidR="0011341A" w:rsidRPr="00231D2B">
        <w:rPr>
          <w:lang w:val="en-US"/>
        </w:rPr>
        <w:t xml:space="preserve"> </w:t>
      </w:r>
    </w:p>
    <w:p w14:paraId="6135641D" w14:textId="489777B1" w:rsidR="00B1657B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36 </w:t>
      </w:r>
      <w:proofErr w:type="spellStart"/>
      <w:r w:rsidRPr="00231D2B">
        <w:rPr>
          <w:lang w:val="en-US"/>
        </w:rPr>
        <w:t>Ballysillan</w:t>
      </w:r>
      <w:proofErr w:type="spellEnd"/>
      <w:r w:rsidRPr="00231D2B">
        <w:rPr>
          <w:lang w:val="en-US"/>
        </w:rPr>
        <w:t xml:space="preserve"> Road</w:t>
      </w:r>
      <w:r w:rsidR="007A7D50">
        <w:rPr>
          <w:lang w:val="en-US"/>
        </w:rPr>
        <w:t xml:space="preserve">, </w:t>
      </w:r>
      <w:r w:rsidRPr="00231D2B">
        <w:rPr>
          <w:lang w:val="en-US"/>
        </w:rPr>
        <w:t xml:space="preserve">Belfast BT14 </w:t>
      </w:r>
    </w:p>
    <w:p w14:paraId="497A54C6" w14:textId="46D465C0" w:rsidR="00310042" w:rsidRPr="00231D2B" w:rsidRDefault="003628DD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 (</w:t>
      </w:r>
      <w:r w:rsidR="00310042" w:rsidRPr="00231D2B">
        <w:rPr>
          <w:lang w:val="en-US"/>
        </w:rPr>
        <w:t>0</w:t>
      </w:r>
      <w:r>
        <w:rPr>
          <w:lang w:val="en-US"/>
        </w:rPr>
        <w:t xml:space="preserve">) </w:t>
      </w:r>
      <w:r w:rsidR="00310042" w:rsidRPr="00231D2B">
        <w:rPr>
          <w:lang w:val="en-US"/>
        </w:rPr>
        <w:t xml:space="preserve">7837717979 </w:t>
      </w:r>
    </w:p>
    <w:p w14:paraId="7457C375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</w:rPr>
      </w:pPr>
    </w:p>
    <w:p w14:paraId="7F53F010" w14:textId="493AF322" w:rsidR="002F2161" w:rsidRPr="00231D2B" w:rsidRDefault="003628DD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2F2161" w:rsidRPr="00231D2B">
          <w:rPr>
            <w:rStyle w:val="Hyperlink"/>
            <w:lang w:val="en-US"/>
          </w:rPr>
          <w:t>www.deborda.org</w:t>
        </w:r>
      </w:hyperlink>
      <w:r w:rsidR="0085410A" w:rsidRPr="00231D2B">
        <w:rPr>
          <w:lang w:val="en-US"/>
        </w:rPr>
        <w:t xml:space="preserve"> </w:t>
      </w:r>
      <w:r w:rsidR="001B04B4" w:rsidRPr="00231D2B">
        <w:rPr>
          <w:lang w:val="en-US"/>
        </w:rPr>
        <w:t xml:space="preserve">    </w:t>
      </w:r>
    </w:p>
    <w:p w14:paraId="218ECFD8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  <w:lang w:val="en-US"/>
        </w:rPr>
      </w:pPr>
    </w:p>
    <w:p w14:paraId="4EF40D25" w14:textId="1ECC6778" w:rsidR="00FF0C82" w:rsidRPr="00231D2B" w:rsidRDefault="003628DD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9" w:history="1">
        <w:r w:rsidR="002F2161" w:rsidRPr="00231D2B">
          <w:rPr>
            <w:rStyle w:val="Hyperlink"/>
            <w:lang w:val="en-US"/>
          </w:rPr>
          <w:t>pemerson@deborda.org</w:t>
        </w:r>
      </w:hyperlink>
    </w:p>
    <w:sectPr w:rsidR="00FF0C82" w:rsidRPr="00231D2B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515F"/>
    <w:multiLevelType w:val="hybridMultilevel"/>
    <w:tmpl w:val="555E70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178F"/>
    <w:rsid w:val="000E6BB7"/>
    <w:rsid w:val="000E7A37"/>
    <w:rsid w:val="000F6C54"/>
    <w:rsid w:val="000F7EF4"/>
    <w:rsid w:val="00102EDF"/>
    <w:rsid w:val="0010311E"/>
    <w:rsid w:val="0011341A"/>
    <w:rsid w:val="001161D4"/>
    <w:rsid w:val="00126314"/>
    <w:rsid w:val="001340CC"/>
    <w:rsid w:val="00135CC7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A7024"/>
    <w:rsid w:val="001B04B4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31D2B"/>
    <w:rsid w:val="00235033"/>
    <w:rsid w:val="00241D24"/>
    <w:rsid w:val="002420E7"/>
    <w:rsid w:val="00245DD6"/>
    <w:rsid w:val="002478B6"/>
    <w:rsid w:val="00254618"/>
    <w:rsid w:val="00271F0E"/>
    <w:rsid w:val="00272021"/>
    <w:rsid w:val="0028038D"/>
    <w:rsid w:val="00283403"/>
    <w:rsid w:val="002926F8"/>
    <w:rsid w:val="002974AC"/>
    <w:rsid w:val="002A175B"/>
    <w:rsid w:val="002B3A83"/>
    <w:rsid w:val="002B3D93"/>
    <w:rsid w:val="002C09EC"/>
    <w:rsid w:val="002C1278"/>
    <w:rsid w:val="002C1FBC"/>
    <w:rsid w:val="002C391D"/>
    <w:rsid w:val="002D0D3E"/>
    <w:rsid w:val="002D414E"/>
    <w:rsid w:val="002E0D90"/>
    <w:rsid w:val="002E2A55"/>
    <w:rsid w:val="002E66F0"/>
    <w:rsid w:val="002F1858"/>
    <w:rsid w:val="002F1BB9"/>
    <w:rsid w:val="002F2161"/>
    <w:rsid w:val="002F2A5F"/>
    <w:rsid w:val="002F451E"/>
    <w:rsid w:val="002F5A82"/>
    <w:rsid w:val="002F7AAD"/>
    <w:rsid w:val="0031004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57F72"/>
    <w:rsid w:val="003628DD"/>
    <w:rsid w:val="0036364C"/>
    <w:rsid w:val="003658DA"/>
    <w:rsid w:val="003667BD"/>
    <w:rsid w:val="00375746"/>
    <w:rsid w:val="0038241F"/>
    <w:rsid w:val="00382FEA"/>
    <w:rsid w:val="003874BD"/>
    <w:rsid w:val="00390C78"/>
    <w:rsid w:val="003936DA"/>
    <w:rsid w:val="003A0556"/>
    <w:rsid w:val="003A73D3"/>
    <w:rsid w:val="003B1A92"/>
    <w:rsid w:val="003B3299"/>
    <w:rsid w:val="003B6EF6"/>
    <w:rsid w:val="003C0386"/>
    <w:rsid w:val="003C26D3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7B2"/>
    <w:rsid w:val="00416E07"/>
    <w:rsid w:val="00424A8E"/>
    <w:rsid w:val="00427784"/>
    <w:rsid w:val="0043124C"/>
    <w:rsid w:val="00437446"/>
    <w:rsid w:val="00453C0D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B5A53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411F9"/>
    <w:rsid w:val="005676F6"/>
    <w:rsid w:val="00582A91"/>
    <w:rsid w:val="00584D55"/>
    <w:rsid w:val="0058725F"/>
    <w:rsid w:val="00590F2E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977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2703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A7D50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8F0F89"/>
    <w:rsid w:val="00915F6A"/>
    <w:rsid w:val="00927DE9"/>
    <w:rsid w:val="0093751B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C580A"/>
    <w:rsid w:val="009E17AF"/>
    <w:rsid w:val="009E4A66"/>
    <w:rsid w:val="009E5E2D"/>
    <w:rsid w:val="009F2B34"/>
    <w:rsid w:val="009F392E"/>
    <w:rsid w:val="009F6947"/>
    <w:rsid w:val="009F6B45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11A7"/>
    <w:rsid w:val="00A678AD"/>
    <w:rsid w:val="00A74562"/>
    <w:rsid w:val="00A763C7"/>
    <w:rsid w:val="00A80CBF"/>
    <w:rsid w:val="00A9016A"/>
    <w:rsid w:val="00A972E1"/>
    <w:rsid w:val="00A9785E"/>
    <w:rsid w:val="00AA13B4"/>
    <w:rsid w:val="00AA1D36"/>
    <w:rsid w:val="00AA53FE"/>
    <w:rsid w:val="00AB3D54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3393"/>
    <w:rsid w:val="00B34E2D"/>
    <w:rsid w:val="00B465D6"/>
    <w:rsid w:val="00B547E3"/>
    <w:rsid w:val="00B5557B"/>
    <w:rsid w:val="00B560E8"/>
    <w:rsid w:val="00B56F94"/>
    <w:rsid w:val="00B61DBD"/>
    <w:rsid w:val="00B72054"/>
    <w:rsid w:val="00B76949"/>
    <w:rsid w:val="00B77164"/>
    <w:rsid w:val="00B86356"/>
    <w:rsid w:val="00B864D0"/>
    <w:rsid w:val="00B91741"/>
    <w:rsid w:val="00BA2467"/>
    <w:rsid w:val="00BA2821"/>
    <w:rsid w:val="00BC09AF"/>
    <w:rsid w:val="00BC3D78"/>
    <w:rsid w:val="00BC6C0C"/>
    <w:rsid w:val="00BD0A77"/>
    <w:rsid w:val="00BD5E98"/>
    <w:rsid w:val="00BF7393"/>
    <w:rsid w:val="00BF779B"/>
    <w:rsid w:val="00C01A9E"/>
    <w:rsid w:val="00C0393A"/>
    <w:rsid w:val="00C104F7"/>
    <w:rsid w:val="00C156B8"/>
    <w:rsid w:val="00C20609"/>
    <w:rsid w:val="00C230AC"/>
    <w:rsid w:val="00C23545"/>
    <w:rsid w:val="00C24D54"/>
    <w:rsid w:val="00C260DC"/>
    <w:rsid w:val="00C2628A"/>
    <w:rsid w:val="00C269C1"/>
    <w:rsid w:val="00C3094D"/>
    <w:rsid w:val="00C3104B"/>
    <w:rsid w:val="00C319D2"/>
    <w:rsid w:val="00C36E7C"/>
    <w:rsid w:val="00C55429"/>
    <w:rsid w:val="00C567DD"/>
    <w:rsid w:val="00C57A84"/>
    <w:rsid w:val="00C734DE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92B"/>
    <w:rsid w:val="00D31D06"/>
    <w:rsid w:val="00D340C1"/>
    <w:rsid w:val="00D34E01"/>
    <w:rsid w:val="00D379A0"/>
    <w:rsid w:val="00D616AD"/>
    <w:rsid w:val="00D63F41"/>
    <w:rsid w:val="00D73F74"/>
    <w:rsid w:val="00D77C83"/>
    <w:rsid w:val="00D83021"/>
    <w:rsid w:val="00D85A40"/>
    <w:rsid w:val="00D877AC"/>
    <w:rsid w:val="00D9016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60FA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6A3"/>
    <w:rsid w:val="00E93CC6"/>
    <w:rsid w:val="00E949E6"/>
    <w:rsid w:val="00EB24C4"/>
    <w:rsid w:val="00ED00D6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64AAA"/>
    <w:rsid w:val="00F723B8"/>
    <w:rsid w:val="00F738B8"/>
    <w:rsid w:val="00F75236"/>
    <w:rsid w:val="00F80E18"/>
    <w:rsid w:val="00F8530B"/>
    <w:rsid w:val="00F9684D"/>
    <w:rsid w:val="00FA09A0"/>
    <w:rsid w:val="00FA25A4"/>
    <w:rsid w:val="00FA7029"/>
    <w:rsid w:val="00FB2197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F3F"/>
  <w14:defaultImageDpi w14:val="300"/>
  <w15:docId w15:val="{354CE494-4707-D54C-A262-6C4427E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ord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cr-munich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am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Borda Institute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2021-09-22T09:49:00Z</dcterms:created>
  <dcterms:modified xsi:type="dcterms:W3CDTF">2021-09-22T09:49:00Z</dcterms:modified>
</cp:coreProperties>
</file>